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  <w:r>
        <w:rPr>
          <w:rFonts w:hint="eastAsia" w:hAnsi="宋体"/>
          <w:b/>
          <w:bCs/>
          <w:sz w:val="56"/>
          <w:szCs w:val="56"/>
        </w:rPr>
        <w:t>广东华昌铝厂有限公司</w:t>
      </w:r>
    </w:p>
    <w:p>
      <w:pPr>
        <w:pStyle w:val="9"/>
        <w:spacing w:line="520" w:lineRule="exact"/>
        <w:jc w:val="center"/>
        <w:rPr>
          <w:rFonts w:hAnsi="宋体" w:cs="Times New Roman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FF0000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/>
          <w:sz w:val="28"/>
          <w:szCs w:val="28"/>
          <w:u w:val="single"/>
          <w:lang w:val="en-US" w:eastAsia="zh-CN"/>
        </w:rPr>
        <w:t>HCCGZB20</w:t>
      </w:r>
      <w:r>
        <w:rPr>
          <w:rFonts w:hint="eastAsia"/>
          <w:color w:val="3F3F3F" w:themeColor="text1" w:themeTint="BF"/>
          <w:sz w:val="28"/>
          <w:szCs w:val="28"/>
          <w:u w:val="single"/>
          <w:lang w:val="en-US" w:eastAsia="zh-CN"/>
        </w:rPr>
        <w:t>038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jc w:val="center"/>
        <w:rPr>
          <w:rFonts w:hint="eastAsia" w:ascii="宋体" w:eastAsia="宋体" w:cs="Times New Roman"/>
          <w:b/>
          <w:bCs/>
          <w:sz w:val="56"/>
          <w:szCs w:val="56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sz w:val="56"/>
          <w:szCs w:val="56"/>
          <w:u w:val="single"/>
        </w:rPr>
        <w:t>铝合金建筑型材专用</w:t>
      </w:r>
      <w:r>
        <w:rPr>
          <w:rFonts w:hint="eastAsia" w:ascii="宋体" w:hAnsi="宋体" w:cs="宋体"/>
          <w:b/>
          <w:bCs/>
          <w:sz w:val="56"/>
          <w:szCs w:val="56"/>
          <w:u w:val="single"/>
          <w:lang w:eastAsia="zh-CN"/>
        </w:rPr>
        <w:t>隔热条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sz w:val="76"/>
          <w:szCs w:val="76"/>
        </w:rPr>
      </w:pPr>
      <w:r>
        <w:rPr>
          <w:rFonts w:hint="eastAsia" w:ascii="宋体" w:hAnsi="宋体" w:cs="宋体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招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标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人：广东华昌铝厂有限公司</w:t>
      </w: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2020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日</w:t>
      </w:r>
    </w:p>
    <w:p>
      <w:pPr>
        <w:rPr>
          <w:rFonts w:ascii="宋体" w:cs="Times New Roman"/>
          <w:sz w:val="30"/>
          <w:szCs w:val="30"/>
        </w:rPr>
      </w:pPr>
    </w:p>
    <w:p>
      <w:pPr>
        <w:rPr>
          <w:rFonts w:ascii="宋体" w:cs="Times New Roman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</w:rPr>
      </w:pPr>
    </w:p>
    <w:p>
      <w:pPr>
        <w:pStyle w:val="2"/>
        <w:ind w:firstLine="2641" w:firstLineChars="598"/>
        <w:rPr>
          <w:rFonts w:cs="Times New Roman"/>
        </w:rPr>
      </w:pPr>
      <w:r>
        <w:rPr>
          <w:rFonts w:hint="eastAsia" w:cs="宋体"/>
        </w:rPr>
        <w:t>目</w:t>
      </w:r>
      <w:r>
        <w:t xml:space="preserve">               </w:t>
      </w:r>
      <w:r>
        <w:rPr>
          <w:rFonts w:hint="eastAsia" w:cs="宋体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第二章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第四章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第五章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ascii="宋体" w:cs="Times New Roman"/>
          <w:b/>
          <w:bCs/>
          <w:sz w:val="32"/>
          <w:szCs w:val="32"/>
        </w:rPr>
        <w:br w:type="page"/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本公司现进行年度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采购招标，邀请贵单位参与竞标。本次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材料招标为集中招标，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范围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: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>广东华昌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招标方法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网上下载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。投标人按照招标文件要求准备投标文件。我司收到标书后，依据开标结果与入围公司进行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合作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投标标书准备：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请收到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招标信息后自行按招标要求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编制标书，并快递或直接到如下地址或用文件袋密封好送达。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 收件人地址：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陈钻英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4．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时间要求：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标书截止日期及时间为20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日17:00。在本规定时间内，竞标单位未能送达标书，视为自动弃标。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潘惠华13927750023、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李明明13580455827、陈钻英13923148048、</w:t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第二章 投标人须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知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HCCGZB20</w:t>
            </w: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  <w:u w:val="single"/>
                <w:lang w:val="en-US" w:eastAsia="zh-CN"/>
              </w:rPr>
              <w:t>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隔热条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名 称：广东华昌铝厂有限公司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陈钻英13923148048、李明明13580455827、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lang w:val="en-US" w:eastAsia="zh-CN"/>
              </w:rPr>
              <w:t>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传  真：0757-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资格条件：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投标者必须是采用有中华人民共和国注册单位。凡具备铝合金建筑型材专用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隔热条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的供货能力，并符合招标单位有关要求的法人资格单位。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投标截止时间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2020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8"/>
                <w:szCs w:val="28"/>
                <w:u w:val="single"/>
                <w:lang w:val="en-US" w:eastAsia="zh-CN"/>
              </w:rPr>
              <w:t>11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日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17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：00时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1、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投标保证金的形式</w:t>
            </w: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</w:rPr>
              <w:t>银行汇款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  <w:lang w:val="en-US" w:eastAsia="zh-CN"/>
              </w:rPr>
              <w:t>或现场交纳现金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壹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 xml:space="preserve">户名称：广东华昌铝厂有限公司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开标地点：广东华昌铝厂有限公司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（1）资格条件：投标者必须是采用有中华人民共和国注册单位。凡具备铝合金建筑型材专用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eastAsia="zh-CN"/>
        </w:rPr>
        <w:t>隔热条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（2）资格审查文件内容：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1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①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2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3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4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④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各质量体系认证证书复印件。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5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⑤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能证明企业履约能力、信誉的材料。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（3）投标费用：投标商自行支付准备和递交投标书过程中所发生的</w:t>
      </w: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3.投标单位中标后，立即签订质量协议书和年度供货框架合同，并严格执行所有条款。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4.严禁投标单位对招标单位采购及相关部门人员进行行贿、宴请、馈赠礼品等活动，一经发现，取消投标及供应资格。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5.交货方式：根据广东华昌铝厂有限公司下达的采购订单所要求的数量、规格及交期要求，将产品送达广东华昌铝厂有限公司指定仓库。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6.招标有效期：中标企业的供货资格和投标承诺有效期为合同签定后一年，因重大交货延误及严重供货质量原因被终止供货资格除外。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第三章  投标标的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1.标的名称：铝合金建筑型材专用隔热条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2.具体名称、材质、规格、损耗</w:t>
      </w:r>
    </w:p>
    <w:tbl>
      <w:tblPr>
        <w:tblStyle w:val="7"/>
        <w:tblW w:w="10275" w:type="dxa"/>
        <w:tblInd w:w="-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095"/>
        <w:gridCol w:w="1380"/>
        <w:gridCol w:w="2910"/>
        <w:gridCol w:w="2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51" w:firstLineChars="197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材质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每米克重</w:t>
            </w: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广东华昌单价（元/米）</w:t>
            </w: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江苏华昌单价（元/米）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80" w:firstLineChars="100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C14.8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I12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O14.8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C12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PA66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第四章   质量要求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1.标的名称：铝合金建筑型材专用隔热条</w:t>
      </w:r>
    </w:p>
    <w:p>
      <w:pPr>
        <w:spacing w:line="36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2.数量：以本司采购订单为准</w:t>
      </w:r>
    </w:p>
    <w:p>
      <w:pPr>
        <w:pStyle w:val="17"/>
        <w:ind w:firstLine="0" w:firstLineChars="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3.质量要求：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三. 检验项目及技术要求、质量标准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3.1表面外观质量技术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肉眼观察隔热条的表面应光滑、平整、色泽均匀，没有影响使用的气泡、裂纹、深沟、划伤等外观缺陷存在。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3.2形状尺寸及偏差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  横截面主要尺寸应符合表1要求、其它尺寸允许偏差参照GB 5237.1高精级要求；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    表1   隔热条横截面主要尺寸允许偏差           单位为毫米</w:t>
      </w:r>
    </w:p>
    <w:tbl>
      <w:tblPr>
        <w:tblStyle w:val="7"/>
        <w:tblW w:w="8451" w:type="dxa"/>
        <w:tblInd w:w="5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1764"/>
        <w:gridCol w:w="183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尺寸类别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公称尺寸</w:t>
            </w:r>
          </w:p>
        </w:tc>
        <w:tc>
          <w:tcPr>
            <w:tcW w:w="363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允许偏差，±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实心型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空腔型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隔热条截面高度h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≤20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＞20-50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0.10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隔热条端头宽度b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≤20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＞20-50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＞50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隔热条主要受力壁厚δ</w:t>
            </w: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≤3.0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0.05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＞3.0-6.0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0.08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＞6.0-10.0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0.13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051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＞10.0</w:t>
            </w:r>
          </w:p>
        </w:tc>
        <w:tc>
          <w:tcPr>
            <w:tcW w:w="183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0.18</w:t>
            </w:r>
          </w:p>
        </w:tc>
        <w:tc>
          <w:tcPr>
            <w:tcW w:w="1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0.20</w:t>
            </w:r>
          </w:p>
        </w:tc>
      </w:tr>
    </w:tbl>
    <w:p>
      <w:pPr>
        <w:tabs>
          <w:tab w:val="left" w:pos="4185"/>
        </w:tabs>
        <w:adjustRightInd w:val="0"/>
        <w:snapToGrid w:val="0"/>
        <w:spacing w:line="300" w:lineRule="auto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3.3成分与组织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3.3.1显微镜下观察隔热条的内部组织结构应致密，无气泡、裂纹、夹杂现象；</w:t>
      </w:r>
    </w:p>
    <w:p>
      <w:pPr>
        <w:spacing w:line="460" w:lineRule="exact"/>
        <w:ind w:left="630" w:hanging="840" w:hangingChars="30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3.3.2隔热条主要成份不小于65%的聚酰胺66和玻璃纤维含量25%±2.5%，煅烧后应呈白色网状，在放大镜下观察玻纤应纯净、颜色透明、形态细长 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3.4性能要求 </w:t>
      </w:r>
    </w:p>
    <w:p>
      <w:pPr>
        <w:spacing w:line="460" w:lineRule="exact"/>
        <w:jc w:val="both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表2 隔热条性能检验项目及指标要求</w:t>
      </w:r>
    </w:p>
    <w:tbl>
      <w:tblPr>
        <w:tblStyle w:val="7"/>
        <w:tblW w:w="9522" w:type="dxa"/>
        <w:jc w:val="center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0"/>
        <w:gridCol w:w="1416"/>
        <w:gridCol w:w="1396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80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检验项目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指标要求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480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I隔热条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非I型</w:t>
            </w:r>
          </w:p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隔热条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玻纤含量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25±2.5%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25±2.5%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室温横向抗拉强度特征值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≥70MPa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≥45N/mm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来料检验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高温横向抗拉强度特征值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≥45MPa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无缺口冲击强度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≥35KJ/m2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耐水试验后室温横向抗拉强度特征值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≥35MPa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——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不定期抽检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4800" w:type="dxa"/>
            <w:vAlign w:val="center"/>
          </w:tcPr>
          <w:p>
            <w:pPr>
              <w:spacing w:line="460" w:lineRule="exact"/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穿条后型材高温纵向抗剪强度特征值</w:t>
            </w:r>
          </w:p>
        </w:tc>
        <w:tc>
          <w:tcPr>
            <w:tcW w:w="141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≥24N/mm</w:t>
            </w:r>
          </w:p>
        </w:tc>
        <w:tc>
          <w:tcPr>
            <w:tcW w:w="139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≥24N/mm</w:t>
            </w:r>
          </w:p>
        </w:tc>
        <w:tc>
          <w:tcPr>
            <w:tcW w:w="191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2"/>
                <w:sz w:val="28"/>
                <w:szCs w:val="28"/>
                <w:lang w:val="en-US" w:eastAsia="zh-CN" w:bidi="ar-SA"/>
              </w:rPr>
              <w:t>参照GB5237.6不定期抽检验证</w:t>
            </w:r>
          </w:p>
        </w:tc>
      </w:tr>
    </w:tbl>
    <w:p>
      <w:pPr>
        <w:numPr>
          <w:ilvl w:val="0"/>
          <w:numId w:val="2"/>
        </w:num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 xml:space="preserve">检验方法 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4.1外观质量检验:自然散射光下，以正常视力（不使用放大镜）距离0.5米处目视检查。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4.2尺寸检验：制作专用夹具夹持，用扫描测量仪检测隔热条截面形状尺寸偏差。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4.3成分与组织检验：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4.3.1在200倍显微镜下观察横向和纵向玻璃纤维分布及其内部组织结构；</w:t>
      </w:r>
    </w:p>
    <w:p>
      <w:pPr>
        <w:spacing w:line="460" w:lineRule="exact"/>
        <w:ind w:left="315" w:hanging="420" w:hangingChars="150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4.3.2玻璃纤维含量按GB/T 9345.1-2008中的煅烧法（A法）规定，煅烧后在50倍显微镜下观察玻璃纤维色泽和形态。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  <w:t>4.4性能检验：参照（GB/T23615.1-2009）方法。</w:t>
      </w:r>
    </w:p>
    <w:p>
      <w:pPr>
        <w:spacing w:line="52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产品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6. 个别品种工程价、要求有备案交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供应中心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.送货地点：按本司要求送广东华昌仓库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spacing w:line="700" w:lineRule="exact"/>
        <w:jc w:val="both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招 标 人：广东华昌铝厂有限公司</w:t>
      </w:r>
    </w:p>
    <w:p>
      <w:pPr>
        <w:spacing w:line="700" w:lineRule="exact"/>
        <w:jc w:val="both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 xml:space="preserve">                                    2020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9B3168"/>
    <w:multiLevelType w:val="singleLevel"/>
    <w:tmpl w:val="5C9B3168"/>
    <w:lvl w:ilvl="0" w:tentative="0">
      <w:start w:val="4"/>
      <w:numFmt w:val="chineseCounting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